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Resource ELA: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Monday: Watson’s go to Birmingham Chapter 1 and Vocab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Wednesday: Watson’s go to Birmingham Chapter 2 and Vocab Quiz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Friday: Individual Student sessions for support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Resource Math: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Monday: Dividing Integers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Wednesday: Chapter Review and Independent practice 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Friday: Integer Quiz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Resource Social Studies: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Tuesday: Chapter 1 Section 4 and Vocab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Thursday: Chapter 1 Review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Friday: Vocab Quiz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Seminar: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Weekly Check In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Digital Driver’s License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