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TWGTB Chapter 14 and 15 Whole Group Read Aloud Exercise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Epilogue: Final Thoughts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Class Holiday Celebration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Decimals, Fractions and Percentages Pixel Whole Group Lesson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Edpuzzle: Conversions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Independent Practice Google Form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Declaration of Independence Lesson 6 part 2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Edpuzzle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Lesson 6 part 3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Seminar: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Weekly Check in for Vocational and Emotional Support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