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Introduction to Crossover Learning Hub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New Year’s Goals Writing Assignment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Grammar Bootcamp Escape Room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Smart Goals Document Sheet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Review of Percentages (fractions, decimals)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Khan Academy Practice and Assessment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Section 2: Lesson 7 The American Revolution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Vocabulary Notebook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 class read aloud and class discussion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Weekly check in: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Hybrid Group check Ins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